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C298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CONFIDENTIALITY OF PATRON RECORDS (2000-09-21)</w:t>
      </w:r>
    </w:p>
    <w:p w14:paraId="52B94AB6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Circulation records and other library records, which identify the names of library users with</w:t>
      </w:r>
    </w:p>
    <w:p w14:paraId="29740DF2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specific materials, are confidential in nature.</w:t>
      </w:r>
    </w:p>
    <w:p w14:paraId="6447D0FB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These records or any information from the records shall not be given to or made available to</w:t>
      </w:r>
    </w:p>
    <w:p w14:paraId="322925BF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any individual or group or any agency of state, federal or local government except pursuant to</w:t>
      </w:r>
    </w:p>
    <w:p w14:paraId="6F99CDD3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such court order of subpoena as may be issued under authority of federal, state or local law</w:t>
      </w:r>
    </w:p>
    <w:p w14:paraId="7A7A15C1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relating to civil, criminal or administrative discovery procedure or legislative investigatory</w:t>
      </w:r>
    </w:p>
    <w:p w14:paraId="38A181ED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power.</w:t>
      </w:r>
    </w:p>
    <w:p w14:paraId="270241D5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 xml:space="preserve">If any such order of subpoena is issued, it shall not be complied with until the </w:t>
      </w:r>
      <w:proofErr w:type="gramStart"/>
      <w:r>
        <w:rPr>
          <w:rFonts w:ascii="Franklin Gothic Book" w:eastAsia="Times New Roman" w:hAnsi="Franklin Gothic Book"/>
          <w:color w:val="000000"/>
          <w:sz w:val="24"/>
          <w:szCs w:val="24"/>
        </w:rPr>
        <w:t>Library’s</w:t>
      </w:r>
      <w:proofErr w:type="gramEnd"/>
    </w:p>
    <w:p w14:paraId="1CA44EF7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officers have consulted with their legal counsel to determine:</w:t>
      </w:r>
    </w:p>
    <w:p w14:paraId="66761140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a) if such documents are in proper form; and</w:t>
      </w:r>
    </w:p>
    <w:p w14:paraId="5A80B4F1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b) if there is showing of good cause for their issuance.</w:t>
      </w:r>
    </w:p>
    <w:p w14:paraId="16AA6296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If the documents in question are not in proper form, and/or if good cause is not shown,</w:t>
      </w:r>
    </w:p>
    <w:p w14:paraId="2194D096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 xml:space="preserve">the </w:t>
      </w:r>
      <w:proofErr w:type="gramStart"/>
      <w:r>
        <w:rPr>
          <w:rFonts w:ascii="Franklin Gothic Book" w:eastAsia="Times New Roman" w:hAnsi="Franklin Gothic Book"/>
          <w:color w:val="000000"/>
          <w:sz w:val="24"/>
          <w:szCs w:val="24"/>
        </w:rPr>
        <w:t>Library’s</w:t>
      </w:r>
      <w:proofErr w:type="gramEnd"/>
      <w:r>
        <w:rPr>
          <w:rFonts w:ascii="Franklin Gothic Book" w:eastAsia="Times New Roman" w:hAnsi="Franklin Gothic Book"/>
          <w:color w:val="000000"/>
          <w:sz w:val="24"/>
          <w:szCs w:val="24"/>
        </w:rPr>
        <w:t xml:space="preserve"> officers will insist that any defects be cured before the requests are</w:t>
      </w:r>
    </w:p>
    <w:p w14:paraId="6512D7E4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complied with.</w:t>
      </w:r>
    </w:p>
    <w:p w14:paraId="1EF13805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In the following circumstances, in accordance with section 149.432 of the Ohio Revised Code,</w:t>
      </w:r>
    </w:p>
    <w:p w14:paraId="26FEEAC4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the information will be provided without a court order of subpoena:</w:t>
      </w:r>
    </w:p>
    <w:p w14:paraId="1C81179B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a) a law enforcement officer who is acting in the scope of the officer’s law enforcement</w:t>
      </w:r>
    </w:p>
    <w:p w14:paraId="1F7343D7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duties and who is investigating a matter involving public safety in exigent</w:t>
      </w:r>
    </w:p>
    <w:p w14:paraId="23FE613B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circumstances.</w:t>
      </w:r>
    </w:p>
    <w:p w14:paraId="70E4CAE7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b) library record or patron information pertaining to a minor child requested from the</w:t>
      </w:r>
    </w:p>
    <w:p w14:paraId="14490225" w14:textId="77777777" w:rsidR="006D78BF" w:rsidRDefault="006D78BF" w:rsidP="006D78BF">
      <w:pPr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Franklin Gothic Book" w:eastAsia="Times New Roman" w:hAnsi="Franklin Gothic Book"/>
          <w:color w:val="000000"/>
          <w:sz w:val="24"/>
          <w:szCs w:val="24"/>
        </w:rPr>
        <w:t>minor child’s parent, guardian, or custodian</w:t>
      </w:r>
    </w:p>
    <w:p w14:paraId="2D93EC83" w14:textId="77777777" w:rsidR="000B2388" w:rsidRDefault="000B2388"/>
    <w:sectPr w:rsidR="000B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BF"/>
    <w:rsid w:val="000B2388"/>
    <w:rsid w:val="002267AA"/>
    <w:rsid w:val="006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FBD8"/>
  <w15:chartTrackingRefBased/>
  <w15:docId w15:val="{4C0FE481-9607-40AD-B66D-EEC4399C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BF"/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Black</dc:creator>
  <cp:keywords/>
  <dc:description/>
  <cp:lastModifiedBy>Jennifer Black</cp:lastModifiedBy>
  <cp:revision>1</cp:revision>
  <dcterms:created xsi:type="dcterms:W3CDTF">2025-01-29T12:46:00Z</dcterms:created>
  <dcterms:modified xsi:type="dcterms:W3CDTF">2025-01-29T12:46:00Z</dcterms:modified>
</cp:coreProperties>
</file>